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1F1BB3A" wp14:paraId="7E7CDE2C" wp14:textId="0A160401">
      <w:pPr>
        <w:pStyle w:val="Normal"/>
        <w:rPr>
          <w:rFonts w:ascii="Times New Roman" w:hAnsi="Times New Roman" w:eastAsia="Times New Roman" w:cs="Times New Roman"/>
          <w:sz w:val="24"/>
          <w:szCs w:val="24"/>
        </w:rPr>
      </w:pPr>
      <w:r w:rsidR="2D6CF558">
        <w:drawing>
          <wp:anchor xmlns:wp14="http://schemas.microsoft.com/office/word/2010/wordprocessingDrawing" distT="0" distB="0" distL="114300" distR="114300" simplePos="0" relativeHeight="251658240" behindDoc="0" locked="0" layoutInCell="1" allowOverlap="1" wp14:anchorId="1A9ACEF0" wp14:editId="672892C4">
            <wp:simplePos x="0" y="0"/>
            <wp:positionH relativeFrom="column">
              <wp:posOffset>-104775</wp:posOffset>
            </wp:positionH>
            <wp:positionV relativeFrom="paragraph">
              <wp:posOffset>-495300</wp:posOffset>
            </wp:positionV>
            <wp:extent cx="1495425" cy="525016"/>
            <wp:effectExtent l="0" t="0" r="0" b="0"/>
            <wp:wrapNone/>
            <wp:docPr id="16176850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7685069" name="Picture 1617685069"/>
                    <pic:cNvPicPr/>
                  </pic:nvPicPr>
                  <pic:blipFill>
                    <a:blip xmlns:r="http://schemas.openxmlformats.org/officeDocument/2006/relationships" r:embed="rId336388983">
                      <a:extLst>
                        <a:ext uri="{28A0092B-C50C-407E-A947-70E740481C1C}">
                          <a14:useLocalDpi xmlns:a14="http://schemas.microsoft.com/office/drawing/2010/main"/>
                        </a:ext>
                      </a:extLst>
                    </a:blip>
                    <a:stretch>
                      <a:fillRect/>
                    </a:stretch>
                  </pic:blipFill>
                  <pic:spPr>
                    <a:xfrm rot="0">
                      <a:off x="0" y="0"/>
                      <a:ext cx="1495425" cy="525016"/>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71F1BB3A" wp14:paraId="625AB40A" wp14:textId="599F93D1">
      <w:pPr>
        <w:pStyle w:val="Normal"/>
        <w:rPr>
          <w:rFonts w:ascii="Times New Roman" w:hAnsi="Times New Roman" w:eastAsia="Times New Roman" w:cs="Times New Roman"/>
          <w:sz w:val="24"/>
          <w:szCs w:val="24"/>
        </w:rPr>
      </w:pPr>
      <w:r w:rsidRPr="71F1BB3A" w:rsidR="2292317B">
        <w:rPr>
          <w:rFonts w:ascii="Times New Roman" w:hAnsi="Times New Roman" w:eastAsia="Times New Roman" w:cs="Times New Roman"/>
          <w:b w:val="0"/>
          <w:bCs w:val="0"/>
          <w:i w:val="0"/>
          <w:iCs w:val="0"/>
          <w:caps w:val="0"/>
          <w:smallCaps w:val="0"/>
          <w:noProof w:val="0"/>
          <w:sz w:val="24"/>
          <w:szCs w:val="24"/>
          <w:lang w:val="fr-FR"/>
        </w:rPr>
        <w:t>Le Fonds de développement des normes et du commerce (STDF) accepte les candidatures pour son dernier cycle de financement afin de soutenir des projets visant à renforcer la sécurité alimentaire, la santé animale et la santé des plantes, aidant les pays en développement à améliorer le commerce agricole et à accéder aux marchés internationaux.</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Financement disponible :</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Subventions de projet : jusqu’à 1 000 000 $ US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Subventions de préparation de projets : jusqu’à 50 000 $ US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Qui peut postuler ?</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Ministères et agences gouvernementales, autorités de sécurité alimentaire, vétérinaire et de santé végétale, instituts de recherche, universités, organisations de producteurs, associations de produits de base, ONG et organisations du secteur privé dans les pays en développement éligibles.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Les domaines prioritaires incluent :</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•Sécurité alimentaire</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Santé animale et végétale</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Systèmes de certification à l’exportation</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Capacité de laboratoire</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Surveillance des nuisibles et des maladies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Traçabilité numérique et e-certification</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Systèmes d’inspection et de quarantaine</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 Renforcement des capacités du SPS pour améliorer les exportations agricoles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Les secteurs prioritaires incluent :</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L’agriculture, l’horticulture, l’élevage, la pêche, l’aquaculture, les produits laitiers, la viande, les céréales, le café, le cacao, le thé, les épices, le miel, les produits forestiers et autres chaînes de valeur agroalimentaires affectées par les défis sanitaires et phytosanitaires (SPS).</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Pays éligibles : pays en développement et pays les moins avancés (PMD), y compris ceux de l’Afrique.</w:t>
      </w:r>
      <w:r>
        <w:br/>
      </w:r>
      <w:r w:rsidRPr="71F1BB3A" w:rsidR="2292317B">
        <w:rPr>
          <w:rFonts w:ascii="Times New Roman" w:hAnsi="Times New Roman" w:eastAsia="Times New Roman" w:cs="Times New Roman"/>
          <w:b w:val="0"/>
          <w:bCs w:val="0"/>
          <w:i w:val="0"/>
          <w:iCs w:val="0"/>
          <w:caps w:val="0"/>
          <w:smallCaps w:val="0"/>
          <w:noProof w:val="0"/>
          <w:sz w:val="24"/>
          <w:szCs w:val="24"/>
          <w:lang w:val="fr-FR"/>
        </w:rPr>
        <w:t>Date limite de candidature : 1er août 2026</w:t>
      </w:r>
    </w:p>
    <w:p xmlns:wp14="http://schemas.microsoft.com/office/word/2010/wordml" w:rsidP="71F1BB3A" wp14:paraId="3BFEFB25" wp14:textId="35BE465A">
      <w:pPr>
        <w:pStyle w:val="Normal"/>
        <w:rPr>
          <w:rFonts w:ascii="Times New Roman" w:hAnsi="Times New Roman" w:eastAsia="Times New Roman" w:cs="Times New Roman"/>
          <w:sz w:val="24"/>
          <w:szCs w:val="24"/>
        </w:rPr>
      </w:pPr>
      <w:r>
        <w:br/>
      </w:r>
      <w:r w:rsidRPr="71F1BB3A" w:rsidR="2292317B">
        <w:rPr>
          <w:rFonts w:ascii="Times New Roman" w:hAnsi="Times New Roman" w:eastAsia="Times New Roman" w:cs="Times New Roman"/>
          <w:b w:val="0"/>
          <w:bCs w:val="0"/>
          <w:i w:val="0"/>
          <w:iCs w:val="0"/>
          <w:caps w:val="0"/>
          <w:smallCaps w:val="0"/>
          <w:noProof w:val="0"/>
          <w:sz w:val="24"/>
          <w:szCs w:val="24"/>
          <w:lang w:val="fr-FR"/>
        </w:rPr>
        <w:t xml:space="preserve">Postulez ici : </w:t>
      </w:r>
      <w:hyperlink r:id="Rf60abc7b04884921">
        <w:r w:rsidRPr="71F1BB3A" w:rsidR="2292317B">
          <w:rPr>
            <w:rStyle w:val="Hyperlink"/>
            <w:rFonts w:ascii="Times New Roman" w:hAnsi="Times New Roman" w:eastAsia="Times New Roman" w:cs="Times New Roman"/>
            <w:b w:val="1"/>
            <w:bCs w:val="1"/>
            <w:i w:val="0"/>
            <w:iCs w:val="0"/>
            <w:caps w:val="0"/>
            <w:smallCaps w:val="0"/>
            <w:strike w:val="0"/>
            <w:dstrike w:val="0"/>
            <w:noProof w:val="0"/>
            <w:color w:val="0A66C2"/>
            <w:sz w:val="24"/>
            <w:szCs w:val="24"/>
            <w:u w:val="none"/>
            <w:lang w:val="fr-FR"/>
          </w:rPr>
          <w:t>https://lnkd.in/dUj7qEPz</w:t>
        </w:r>
      </w:hyperlink>
      <w:r>
        <w:br/>
      </w:r>
      <w:r>
        <w:br/>
      </w:r>
      <w:r w:rsidR="25F8C2F9">
        <w:drawing>
          <wp:inline xmlns:wp14="http://schemas.microsoft.com/office/word/2010/wordprocessingDrawing" wp14:editId="3447C86F" wp14:anchorId="15398062">
            <wp:extent cx="5724525" cy="5724525"/>
            <wp:effectExtent l="0" t="0" r="0" b="0"/>
            <wp:docPr id="12206885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0688572" name="Picture 1220688572"/>
                    <pic:cNvPicPr/>
                  </pic:nvPicPr>
                  <pic:blipFill>
                    <a:blip xmlns:r="http://schemas.openxmlformats.org/officeDocument/2006/relationships" r:embed="rId1106836356">
                      <a:extLst>
                        <a:ext uri="{28A0092B-C50C-407E-A947-70E740481C1C}">
                          <a14:useLocalDpi xmlns:a14="http://schemas.microsoft.com/office/drawing/2010/main"/>
                        </a:ext>
                      </a:extLst>
                    </a:blip>
                    <a:stretch>
                      <a:fillRect/>
                    </a:stretch>
                  </pic:blipFill>
                  <pic:spPr>
                    <a:xfrm>
                      <a:off x="0" y="0"/>
                      <a:ext cx="5724525" cy="5724525"/>
                    </a:xfrm>
                    <a:prstGeom prst="rect">
                      <a:avLst/>
                    </a:prstGeom>
                  </pic:spPr>
                </pic:pic>
              </a:graphicData>
            </a:graphic>
          </wp:inline>
        </w:drawing>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92DD0AD"/>
    <w:rsid w:val="064D877E"/>
    <w:rsid w:val="2292317B"/>
    <w:rsid w:val="25F8C2F9"/>
    <w:rsid w:val="2D6CF558"/>
    <w:rsid w:val="3A9BFEC8"/>
    <w:rsid w:val="3D9D2F26"/>
    <w:rsid w:val="4BE0F5CA"/>
    <w:rsid w:val="532225A0"/>
    <w:rsid w:val="600BE9E8"/>
    <w:rsid w:val="62BEF5F3"/>
    <w:rsid w:val="6507D7C0"/>
    <w:rsid w:val="692DD0AD"/>
    <w:rsid w:val="6AB2905F"/>
    <w:rsid w:val="71F0960E"/>
    <w:rsid w:val="71F1BB3A"/>
    <w:rsid w:val="75484AB1"/>
    <w:rsid w:val="762FD436"/>
    <w:rsid w:val="7C9B493C"/>
    <w:rsid w:val="7D63CC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A31F"/>
  <w15:chartTrackingRefBased/>
  <w15:docId w15:val="{AC6AACF2-5BF4-4F65-AA9E-482A283786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2D6CF55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336388983" /><Relationship Type="http://schemas.openxmlformats.org/officeDocument/2006/relationships/image" Target="/media/image2.png" Id="rId1106836356" /><Relationship Type="http://schemas.openxmlformats.org/officeDocument/2006/relationships/hyperlink" Target="https://www.linkedin.com/safety/go/?url=https%3A%2F%2Flnkd%2Ein%2FdUj7qEPz&amp;urlhash=W2uB&amp;mt=qhVE_x303jFk-2V_66PNfSEppE3RN3IXrjxwcWL32MmTe_oRp5SXn4dkRoUD67Yub0tMOJ0THLj5DVMNTgcyfcIDFr0V&amp;isSdui=true" TargetMode="External" Id="Rf60abc7b0488492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2026-07-08T15:19:52.7867405Z</dcterms:created>
  <dcterms:modified xsi:type="dcterms:W3CDTF">2026-07-08T16:24:58.3355432Z</dcterms:modified>
  <dc:creator>Christopher  Yao</dc:creator>
  <lastModifiedBy>Christopher  Yao</lastModifiedBy>
</coreProperties>
</file>